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7FBE" w14:textId="77777777" w:rsidR="00983898" w:rsidRDefault="00983898" w:rsidP="00983898">
      <w:pPr>
        <w:pStyle w:val="info"/>
        <w:widowControl/>
        <w:spacing w:line="500" w:lineRule="exac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r w:rsidRPr="008E4779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202</w:t>
      </w:r>
      <w:r>
        <w:rPr>
          <w:rFonts w:ascii="黑体" w:eastAsia="黑体" w:hAnsi="黑体" w:cs="宋体"/>
          <w:bCs/>
          <w:color w:val="auto"/>
          <w:sz w:val="28"/>
          <w:szCs w:val="28"/>
        </w:rPr>
        <w:t>2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年依据台湾地区大学入学考试学科能力</w:t>
      </w:r>
      <w:r>
        <w:rPr>
          <w:rFonts w:ascii="黑体" w:eastAsia="黑体" w:hAnsi="黑体" w:cs="宋体" w:hint="eastAsia"/>
          <w:bCs/>
          <w:color w:val="auto"/>
          <w:sz w:val="28"/>
          <w:szCs w:val="28"/>
        </w:rPr>
        <w:t>测试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成绩招收台湾高中毕业生专业目录</w:t>
      </w:r>
    </w:p>
    <w:p w14:paraId="50127124" w14:textId="77777777" w:rsidR="00983898" w:rsidRPr="00557515" w:rsidRDefault="00983898" w:rsidP="00983898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276"/>
        <w:gridCol w:w="1276"/>
      </w:tblGrid>
      <w:tr w:rsidR="00983898" w:rsidRPr="00557515" w14:paraId="519C9B26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E8B591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招生专业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（类）</w:t>
            </w: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E6314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包含专业</w:t>
            </w:r>
          </w:p>
        </w:tc>
        <w:tc>
          <w:tcPr>
            <w:tcW w:w="1276" w:type="dxa"/>
            <w:vAlign w:val="center"/>
          </w:tcPr>
          <w:p w14:paraId="03FD744C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科类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332B2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主要授课语言</w:t>
            </w:r>
          </w:p>
        </w:tc>
      </w:tr>
      <w:tr w:rsidR="00983898" w:rsidRPr="00557515" w14:paraId="1BDF9C19" w14:textId="77777777" w:rsidTr="00A15C14">
        <w:trPr>
          <w:trHeight w:val="936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7FF8DB64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9057C53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、材料物理、材料化学、无机非金属材料工程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、高分子材料与工程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、复合材料与工程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、新能源材料与器件</w:t>
            </w:r>
          </w:p>
        </w:tc>
        <w:tc>
          <w:tcPr>
            <w:tcW w:w="1276" w:type="dxa"/>
            <w:vAlign w:val="center"/>
          </w:tcPr>
          <w:p w14:paraId="327F2C55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48AD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5F2675E3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C7428D2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F4EF3E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2EFC93F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8580B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230B428E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18561C6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交通运输类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504E0BD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道路桥梁与渡河工程、交通运输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、交通工程</w:t>
            </w:r>
          </w:p>
        </w:tc>
        <w:tc>
          <w:tcPr>
            <w:tcW w:w="1276" w:type="dxa"/>
            <w:vAlign w:val="center"/>
          </w:tcPr>
          <w:p w14:paraId="372E9D82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D5ED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107601C0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02051822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B5"/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机械类（车辆）</w:t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7B7BF6" w14:textId="77777777" w:rsidR="00983898" w:rsidRPr="00A3523F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、能源与动力工程、汽车服务工程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、储能科学与工程</w:t>
            </w:r>
          </w:p>
        </w:tc>
        <w:tc>
          <w:tcPr>
            <w:tcW w:w="1276" w:type="dxa"/>
            <w:vAlign w:val="center"/>
          </w:tcPr>
          <w:p w14:paraId="544F5B45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D3AD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72BB7E8E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1A2DE178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机械类（机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D2F6D57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智能制造工程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4F829E03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过程装备与控制工程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14:paraId="60F4B939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29B45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075F0A79" w14:textId="77777777" w:rsidTr="00A15C14">
        <w:trPr>
          <w:trHeight w:val="90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1DF2FB4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土木类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D9ED00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、建筑环境与能源应用工程、给排水科学与工程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、工程管理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14:paraId="209E577C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8EEE76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6E1A96C0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421831F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环境科学与工程类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4B01AD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环境工程、环境科学、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、采矿工程</w:t>
            </w:r>
          </w:p>
        </w:tc>
        <w:tc>
          <w:tcPr>
            <w:tcW w:w="1276" w:type="dxa"/>
            <w:vAlign w:val="center"/>
          </w:tcPr>
          <w:p w14:paraId="2301CCF9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1287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20BBA2BA" w14:textId="77777777" w:rsidTr="00A15C14">
        <w:trPr>
          <w:trHeight w:val="34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0D163A11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8BE4A76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273B51C2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物联网工程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29BC3E7E" w14:textId="77777777"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35B63866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A9E659E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D1998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1AF91708" w14:textId="77777777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595E907C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机械设计制造及其自动化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D9D9DD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F87AD95" w14:textId="77777777"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AECB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47998067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0F557DC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经济学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F38777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经济学、国际经济与贸易、金融学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44C5404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00F58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54FB1026" w14:textId="77777777" w:rsidTr="00A15C14">
        <w:trPr>
          <w:trHeight w:val="624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6DFDCA9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设计学类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21392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产品设计、环境设计、视觉传达设计、艺术设计学</w:t>
            </w:r>
          </w:p>
        </w:tc>
        <w:tc>
          <w:tcPr>
            <w:tcW w:w="1276" w:type="dxa"/>
            <w:vAlign w:val="center"/>
          </w:tcPr>
          <w:p w14:paraId="569A6D6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2DE6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66DA57C5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3EA77006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881777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9CFD4AF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F24FA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14:paraId="6ECC122E" w14:textId="77777777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14:paraId="61660F4F" w14:textId="77777777" w:rsidR="00983898" w:rsidRDefault="00983898" w:rsidP="00A15C14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生物科学类</w:t>
            </w:r>
          </w:p>
          <w:p w14:paraId="23663560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31A5807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制药工程（中外合作办学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生物技术（中外合作办学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44AFC834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04D8E" w14:textId="77777777"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</w:tbl>
    <w:p w14:paraId="25E2677F" w14:textId="77777777" w:rsidR="00983898" w:rsidRDefault="00983898" w:rsidP="00983898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说明：1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14:paraId="79A9457B" w14:textId="77777777" w:rsidR="00983898" w:rsidRDefault="00983898" w:rsidP="00983898">
      <w:pPr>
        <w:pStyle w:val="info"/>
        <w:widowControl/>
        <w:spacing w:line="500" w:lineRule="exact"/>
        <w:ind w:firstLineChars="300" w:firstLine="7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招生专业（类）以我校2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022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年实际公布最终招生专业目录为准</w:t>
      </w:r>
    </w:p>
    <w:sectPr w:rsidR="009838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3777" w14:textId="77777777" w:rsidR="00BE0CFF" w:rsidRDefault="00BE0CFF">
      <w:r>
        <w:separator/>
      </w:r>
    </w:p>
  </w:endnote>
  <w:endnote w:type="continuationSeparator" w:id="0">
    <w:p w14:paraId="0F019504" w14:textId="77777777" w:rsidR="00BE0CFF" w:rsidRDefault="00B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252728"/>
      <w:docPartObj>
        <w:docPartGallery w:val="Page Numbers (Bottom of Page)"/>
        <w:docPartUnique/>
      </w:docPartObj>
    </w:sdtPr>
    <w:sdtEndPr/>
    <w:sdtContent>
      <w:p w14:paraId="5F139534" w14:textId="77777777" w:rsidR="00E83031" w:rsidRDefault="009C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6A6C">
          <w:rPr>
            <w:noProof/>
            <w:lang w:val="zh-CN"/>
          </w:rPr>
          <w:t>1</w:t>
        </w:r>
        <w:r>
          <w:fldChar w:fldCharType="end"/>
        </w:r>
      </w:p>
    </w:sdtContent>
  </w:sdt>
  <w:p w14:paraId="0D4FDF49" w14:textId="77777777" w:rsidR="00E83031" w:rsidRDefault="00BE0C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A0F1" w14:textId="77777777" w:rsidR="00BE0CFF" w:rsidRDefault="00BE0CFF">
      <w:r>
        <w:separator/>
      </w:r>
    </w:p>
  </w:footnote>
  <w:footnote w:type="continuationSeparator" w:id="0">
    <w:p w14:paraId="3569FA63" w14:textId="77777777" w:rsidR="00BE0CFF" w:rsidRDefault="00BE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8"/>
    <w:rsid w:val="001F7937"/>
    <w:rsid w:val="002862D0"/>
    <w:rsid w:val="00310B0C"/>
    <w:rsid w:val="00647622"/>
    <w:rsid w:val="00892AA6"/>
    <w:rsid w:val="00983898"/>
    <w:rsid w:val="009C0F30"/>
    <w:rsid w:val="00A225C9"/>
    <w:rsid w:val="00A3523F"/>
    <w:rsid w:val="00BE0CFF"/>
    <w:rsid w:val="00C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DA32"/>
  <w15:chartTrackingRefBased/>
  <w15:docId w15:val="{355AB01E-DA29-40E2-A129-49032A0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qFormat/>
    <w:rsid w:val="00983898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3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9daner</dc:creator>
  <cp:keywords/>
  <dc:description/>
  <cp:lastModifiedBy>赵俊杰</cp:lastModifiedBy>
  <cp:revision>2</cp:revision>
  <dcterms:created xsi:type="dcterms:W3CDTF">2022-03-23T06:56:00Z</dcterms:created>
  <dcterms:modified xsi:type="dcterms:W3CDTF">2022-03-23T06:56:00Z</dcterms:modified>
</cp:coreProperties>
</file>